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35" w:rsidRPr="000C4F0A" w:rsidRDefault="008D0A35" w:rsidP="008D0A35">
      <w:pPr>
        <w:rPr>
          <w:b/>
        </w:rPr>
      </w:pPr>
      <w:r w:rsidRPr="000C4F0A">
        <w:rPr>
          <w:b/>
        </w:rPr>
        <w:t>1</w:t>
      </w:r>
      <w:r w:rsidRPr="000C4F0A">
        <w:rPr>
          <w:b/>
        </w:rPr>
        <w:tab/>
      </w:r>
      <w:proofErr w:type="spellStart"/>
      <w:r w:rsidRPr="000C4F0A">
        <w:rPr>
          <w:b/>
        </w:rPr>
        <w:t>Scope</w:t>
      </w:r>
      <w:proofErr w:type="spellEnd"/>
    </w:p>
    <w:p w:rsidR="008D0A35" w:rsidRDefault="008D0A35" w:rsidP="008D0A35"/>
    <w:p w:rsidR="00BB3BCC" w:rsidRDefault="008D0A35" w:rsidP="008D0A35">
      <w:pPr>
        <w:pStyle w:val="ListeParagraf"/>
        <w:numPr>
          <w:ilvl w:val="1"/>
          <w:numId w:val="1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specifies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supple</w:t>
      </w:r>
      <w:r w:rsidR="000D4578">
        <w:t>mentary</w:t>
      </w:r>
      <w:proofErr w:type="spellEnd"/>
      <w:r w:rsidR="000D4578">
        <w:t xml:space="preserve"> IRNAC</w:t>
      </w:r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on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–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(MDQMS) </w:t>
      </w:r>
      <w:proofErr w:type="spellStart"/>
      <w:r>
        <w:t>to</w:t>
      </w:r>
      <w:proofErr w:type="spellEnd"/>
      <w:r>
        <w:t xml:space="preserve"> ISO 13485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–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–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ISO/IEC 17021-1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IAF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:rsidR="008D0A35" w:rsidRDefault="000745B9" w:rsidP="000745B9">
      <w:pPr>
        <w:pStyle w:val="ListeParagraf"/>
        <w:numPr>
          <w:ilvl w:val="1"/>
          <w:numId w:val="1"/>
        </w:numPr>
      </w:pPr>
      <w:proofErr w:type="spellStart"/>
      <w:r w:rsidRPr="000745B9">
        <w:t>The</w:t>
      </w:r>
      <w:proofErr w:type="spellEnd"/>
      <w:r w:rsidRPr="000745B9">
        <w:t xml:space="preserve"> </w:t>
      </w:r>
      <w:proofErr w:type="spellStart"/>
      <w:r w:rsidRPr="000745B9">
        <w:t>technical</w:t>
      </w:r>
      <w:proofErr w:type="spellEnd"/>
      <w:r w:rsidRPr="000745B9">
        <w:t xml:space="preserve"> </w:t>
      </w:r>
      <w:proofErr w:type="spellStart"/>
      <w:r w:rsidRPr="000745B9">
        <w:t>areas</w:t>
      </w:r>
      <w:proofErr w:type="spellEnd"/>
      <w:r w:rsidRPr="000745B9">
        <w:t xml:space="preserve"> </w:t>
      </w:r>
      <w:proofErr w:type="spellStart"/>
      <w:r w:rsidRPr="000745B9">
        <w:t>described</w:t>
      </w:r>
      <w:proofErr w:type="spellEnd"/>
      <w:r w:rsidRPr="000745B9">
        <w:t xml:space="preserve"> in </w:t>
      </w:r>
      <w:proofErr w:type="spellStart"/>
      <w:r w:rsidRPr="000745B9">
        <w:t>Annex</w:t>
      </w:r>
      <w:proofErr w:type="spellEnd"/>
      <w:r w:rsidRPr="000745B9">
        <w:t xml:space="preserve"> A of IAF MD 9 </w:t>
      </w:r>
      <w:proofErr w:type="spellStart"/>
      <w:r w:rsidRPr="000745B9">
        <w:t>shall</w:t>
      </w:r>
      <w:proofErr w:type="spellEnd"/>
      <w:r w:rsidRPr="000745B9">
        <w:t xml:space="preserve"> be </w:t>
      </w:r>
      <w:proofErr w:type="spellStart"/>
      <w:r w:rsidRPr="000745B9">
        <w:t>used</w:t>
      </w:r>
      <w:proofErr w:type="spellEnd"/>
      <w:r w:rsidRPr="000745B9">
        <w:t xml:space="preserve"> </w:t>
      </w:r>
      <w:proofErr w:type="spellStart"/>
      <w:r w:rsidRPr="000745B9">
        <w:t>to</w:t>
      </w:r>
      <w:proofErr w:type="spellEnd"/>
      <w:r w:rsidRPr="000745B9">
        <w:t xml:space="preserve"> define </w:t>
      </w:r>
      <w:proofErr w:type="spellStart"/>
      <w:r w:rsidRPr="000745B9">
        <w:t>the</w:t>
      </w:r>
      <w:proofErr w:type="spellEnd"/>
      <w:r w:rsidRPr="000745B9">
        <w:t xml:space="preserve"> </w:t>
      </w:r>
      <w:proofErr w:type="spellStart"/>
      <w:r w:rsidRPr="000745B9">
        <w:t>scope</w:t>
      </w:r>
      <w:proofErr w:type="spellEnd"/>
      <w:r w:rsidRPr="000745B9">
        <w:t xml:space="preserve"> of </w:t>
      </w:r>
      <w:proofErr w:type="spellStart"/>
      <w:r w:rsidRPr="000745B9">
        <w:t>certification</w:t>
      </w:r>
      <w:proofErr w:type="spellEnd"/>
      <w:r w:rsidRPr="000745B9">
        <w:t xml:space="preserve"> </w:t>
      </w:r>
      <w:proofErr w:type="spellStart"/>
      <w:r w:rsidRPr="000745B9">
        <w:t>and</w:t>
      </w:r>
      <w:proofErr w:type="spellEnd"/>
      <w:r w:rsidRPr="000745B9">
        <w:t xml:space="preserve"> </w:t>
      </w:r>
      <w:bookmarkStart w:id="0" w:name="_GoBack"/>
      <w:proofErr w:type="spellStart"/>
      <w:r w:rsidRPr="000745B9">
        <w:t>accreditation</w:t>
      </w:r>
      <w:bookmarkEnd w:id="0"/>
      <w:proofErr w:type="spellEnd"/>
      <w:r w:rsidRPr="000745B9">
        <w:t>.</w:t>
      </w:r>
    </w:p>
    <w:p w:rsidR="00AD4E0C" w:rsidRDefault="00AD4E0C" w:rsidP="00AD4E0C"/>
    <w:p w:rsidR="00AD4E0C" w:rsidRPr="000C4F0A" w:rsidRDefault="00AD4E0C" w:rsidP="00AD4E0C">
      <w:pPr>
        <w:rPr>
          <w:b/>
        </w:rPr>
      </w:pPr>
      <w:r w:rsidRPr="000C4F0A">
        <w:rPr>
          <w:b/>
        </w:rPr>
        <w:t>2</w:t>
      </w:r>
      <w:r w:rsidRPr="000C4F0A">
        <w:rPr>
          <w:b/>
        </w:rPr>
        <w:tab/>
      </w:r>
      <w:proofErr w:type="spellStart"/>
      <w:r w:rsidRPr="000C4F0A">
        <w:rPr>
          <w:b/>
        </w:rPr>
        <w:t>Criteria</w:t>
      </w:r>
      <w:proofErr w:type="spellEnd"/>
      <w:r w:rsidRPr="000C4F0A">
        <w:rPr>
          <w:b/>
        </w:rPr>
        <w:t xml:space="preserve"> </w:t>
      </w:r>
      <w:proofErr w:type="spellStart"/>
      <w:r w:rsidRPr="000C4F0A">
        <w:rPr>
          <w:b/>
        </w:rPr>
        <w:t>for</w:t>
      </w:r>
      <w:proofErr w:type="spellEnd"/>
      <w:r w:rsidRPr="000C4F0A">
        <w:rPr>
          <w:b/>
        </w:rPr>
        <w:t xml:space="preserve"> MDQMS </w:t>
      </w:r>
      <w:proofErr w:type="spellStart"/>
      <w:r w:rsidRPr="000C4F0A">
        <w:rPr>
          <w:b/>
        </w:rPr>
        <w:t>Auditors</w:t>
      </w:r>
      <w:proofErr w:type="spellEnd"/>
    </w:p>
    <w:p w:rsidR="00AD4E0C" w:rsidRDefault="00AD4E0C" w:rsidP="00AD4E0C"/>
    <w:p w:rsidR="000745B9" w:rsidRDefault="00AD4E0C" w:rsidP="00AD4E0C">
      <w:r>
        <w:t>2.1</w:t>
      </w:r>
      <w:r>
        <w:tab/>
        <w:t xml:space="preserve">A </w:t>
      </w:r>
      <w:proofErr w:type="spellStart"/>
      <w:r>
        <w:t>certification</w:t>
      </w:r>
      <w:proofErr w:type="spellEnd"/>
      <w:r>
        <w:t xml:space="preserve"> body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appoint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auditors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MDQMS </w:t>
      </w:r>
      <w:proofErr w:type="spellStart"/>
      <w:r>
        <w:t>audits</w:t>
      </w:r>
      <w:proofErr w:type="spellEnd"/>
      <w:r>
        <w:t xml:space="preserve">. </w:t>
      </w:r>
      <w:proofErr w:type="spellStart"/>
      <w:r>
        <w:t>Auditors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B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C of IAF MD 9 Application of ISO/IEC 17021-1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Medical</w:t>
      </w:r>
      <w:proofErr w:type="spellEnd"/>
      <w:r>
        <w:t xml:space="preserve"> Device </w:t>
      </w:r>
      <w:proofErr w:type="spellStart"/>
      <w:r>
        <w:t>Quality</w:t>
      </w:r>
      <w:proofErr w:type="spellEnd"/>
      <w:r>
        <w:t xml:space="preserve"> Management </w:t>
      </w:r>
      <w:proofErr w:type="spellStart"/>
      <w:r>
        <w:t>Systems</w:t>
      </w:r>
      <w:proofErr w:type="spellEnd"/>
      <w:r>
        <w:t xml:space="preserve"> (ISO 13485).</w:t>
      </w:r>
    </w:p>
    <w:p w:rsidR="000745B9" w:rsidRDefault="000745B9" w:rsidP="000745B9"/>
    <w:p w:rsidR="00E109E4" w:rsidRPr="00E109E4" w:rsidRDefault="00E109E4" w:rsidP="00E109E4">
      <w:pPr>
        <w:rPr>
          <w:b/>
        </w:rPr>
      </w:pPr>
      <w:r w:rsidRPr="00E109E4">
        <w:rPr>
          <w:b/>
        </w:rPr>
        <w:t>3</w:t>
      </w:r>
      <w:r w:rsidRPr="00E109E4">
        <w:rPr>
          <w:b/>
        </w:rPr>
        <w:tab/>
      </w:r>
      <w:proofErr w:type="spellStart"/>
      <w:r w:rsidRPr="00E109E4">
        <w:rPr>
          <w:b/>
        </w:rPr>
        <w:t>Duration</w:t>
      </w:r>
      <w:proofErr w:type="spellEnd"/>
      <w:r w:rsidRPr="00E109E4">
        <w:rPr>
          <w:b/>
        </w:rPr>
        <w:t xml:space="preserve"> of MDQMS </w:t>
      </w:r>
      <w:proofErr w:type="spellStart"/>
      <w:r w:rsidRPr="00E109E4">
        <w:rPr>
          <w:b/>
        </w:rPr>
        <w:t>Audits</w:t>
      </w:r>
      <w:proofErr w:type="spellEnd"/>
    </w:p>
    <w:p w:rsidR="00E109E4" w:rsidRDefault="00E109E4" w:rsidP="00E109E4"/>
    <w:p w:rsidR="00E109E4" w:rsidRDefault="00E109E4" w:rsidP="00E109E4">
      <w:r>
        <w:t>3.1</w:t>
      </w:r>
      <w:r>
        <w:tab/>
        <w:t xml:space="preserve">A </w:t>
      </w:r>
      <w:proofErr w:type="spellStart"/>
      <w:r>
        <w:t>certification</w:t>
      </w:r>
      <w:proofErr w:type="spellEnd"/>
      <w:r>
        <w:t xml:space="preserve"> body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MDQMS </w:t>
      </w:r>
      <w:proofErr w:type="spellStart"/>
      <w:r>
        <w:t>audits</w:t>
      </w:r>
      <w:proofErr w:type="spellEnd"/>
      <w:r>
        <w:t xml:space="preserve"> time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Clause</w:t>
      </w:r>
      <w:proofErr w:type="spellEnd"/>
      <w:r>
        <w:t xml:space="preserve"> 9.1.4 of IAF MD 9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audits</w:t>
      </w:r>
      <w:proofErr w:type="spellEnd"/>
      <w:r>
        <w:t>.</w:t>
      </w:r>
    </w:p>
    <w:p w:rsidR="00E109E4" w:rsidRDefault="00E109E4" w:rsidP="00E109E4">
      <w:r>
        <w:t>3.2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D of IAF MD 9.</w:t>
      </w:r>
    </w:p>
    <w:p w:rsidR="00E109E4" w:rsidRDefault="00E109E4" w:rsidP="00E109E4">
      <w:r>
        <w:t>3.2.1</w:t>
      </w:r>
      <w:r>
        <w:tab/>
      </w:r>
      <w:proofErr w:type="spellStart"/>
      <w:r>
        <w:t>Where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risk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(Class C </w:t>
      </w:r>
      <w:proofErr w:type="spellStart"/>
      <w:r>
        <w:t>or</w:t>
      </w:r>
      <w:proofErr w:type="spellEnd"/>
      <w:r>
        <w:t xml:space="preserve"> D)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Stage</w:t>
      </w:r>
      <w:proofErr w:type="spellEnd"/>
      <w:r>
        <w:t xml:space="preserve"> 1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on-site. </w:t>
      </w:r>
    </w:p>
    <w:p w:rsidR="000745B9" w:rsidRDefault="00E109E4" w:rsidP="00E109E4">
      <w:r>
        <w:t>3.2.2</w:t>
      </w:r>
      <w:r>
        <w:tab/>
      </w:r>
      <w:proofErr w:type="spellStart"/>
      <w:r>
        <w:t>Stage</w:t>
      </w:r>
      <w:proofErr w:type="spellEnd"/>
      <w:r>
        <w:t xml:space="preserve"> 2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site(s)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>.</w:t>
      </w:r>
    </w:p>
    <w:p w:rsidR="00E91AA3" w:rsidRDefault="00E91AA3" w:rsidP="00E91AA3">
      <w:r>
        <w:t>3.3</w:t>
      </w:r>
      <w:r>
        <w:tab/>
      </w:r>
      <w:proofErr w:type="spellStart"/>
      <w:r>
        <w:t>Annual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= 1/3 of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5 of IAF MD 5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.</w:t>
      </w:r>
    </w:p>
    <w:p w:rsidR="00E91AA3" w:rsidRDefault="00E91AA3" w:rsidP="00E91AA3">
      <w:r>
        <w:t>3.3.1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body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 on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year</w:t>
      </w:r>
      <w:proofErr w:type="spellEnd"/>
      <w:r>
        <w:t>.</w:t>
      </w:r>
    </w:p>
    <w:p w:rsidR="00E91AA3" w:rsidRDefault="00E91AA3" w:rsidP="00E91AA3">
      <w:r>
        <w:t>3.4</w:t>
      </w:r>
      <w:r>
        <w:tab/>
      </w:r>
      <w:proofErr w:type="spellStart"/>
      <w:r>
        <w:t>Recertification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= 2/3 of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6 of IAF MD5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.</w:t>
      </w:r>
    </w:p>
    <w:p w:rsidR="00E91AA3" w:rsidRDefault="00E91AA3" w:rsidP="00E91AA3">
      <w:r>
        <w:t>3.5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,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IAF MD11 in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time.</w:t>
      </w:r>
    </w:p>
    <w:p w:rsidR="000745B9" w:rsidRDefault="00E91AA3" w:rsidP="00E91AA3">
      <w:r>
        <w:t>3.6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multi-sites</w:t>
      </w:r>
      <w:proofErr w:type="spellEnd"/>
      <w:r>
        <w:t xml:space="preserve"> </w:t>
      </w:r>
      <w:proofErr w:type="spellStart"/>
      <w:r>
        <w:t>audits</w:t>
      </w:r>
      <w:proofErr w:type="spellEnd"/>
      <w:r>
        <w:t xml:space="preserve">,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IAF MD 1 in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time.</w:t>
      </w:r>
    </w:p>
    <w:p w:rsidR="00E91AA3" w:rsidRDefault="00E91AA3" w:rsidP="000745B9"/>
    <w:p w:rsidR="00704486" w:rsidRPr="00704486" w:rsidRDefault="00704486" w:rsidP="00704486">
      <w:pPr>
        <w:rPr>
          <w:b/>
        </w:rPr>
      </w:pPr>
      <w:r w:rsidRPr="00704486">
        <w:rPr>
          <w:b/>
        </w:rPr>
        <w:lastRenderedPageBreak/>
        <w:t>4.</w:t>
      </w:r>
      <w:r w:rsidRPr="00704486">
        <w:rPr>
          <w:b/>
        </w:rPr>
        <w:tab/>
      </w:r>
      <w:proofErr w:type="spellStart"/>
      <w:r w:rsidRPr="00704486">
        <w:rPr>
          <w:b/>
        </w:rPr>
        <w:t>Sampling</w:t>
      </w:r>
      <w:proofErr w:type="spellEnd"/>
      <w:r w:rsidRPr="00704486">
        <w:rPr>
          <w:b/>
        </w:rPr>
        <w:t xml:space="preserve"> </w:t>
      </w:r>
      <w:proofErr w:type="spellStart"/>
      <w:r w:rsidRPr="00704486">
        <w:rPr>
          <w:b/>
        </w:rPr>
        <w:t>for</w:t>
      </w:r>
      <w:proofErr w:type="spellEnd"/>
      <w:r w:rsidRPr="00704486">
        <w:rPr>
          <w:b/>
        </w:rPr>
        <w:t xml:space="preserve"> MDQMS </w:t>
      </w:r>
      <w:proofErr w:type="spellStart"/>
      <w:r w:rsidRPr="00704486">
        <w:rPr>
          <w:b/>
        </w:rPr>
        <w:t>Audits</w:t>
      </w:r>
      <w:proofErr w:type="spellEnd"/>
    </w:p>
    <w:p w:rsidR="00704486" w:rsidRDefault="00704486" w:rsidP="00704486"/>
    <w:p w:rsidR="00704486" w:rsidRDefault="00704486" w:rsidP="00704486">
      <w:r>
        <w:t>4.1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multi</w:t>
      </w:r>
      <w:proofErr w:type="spellEnd"/>
      <w:r>
        <w:t xml:space="preserve">-site </w:t>
      </w:r>
      <w:proofErr w:type="spellStart"/>
      <w:r>
        <w:t>sampling</w:t>
      </w:r>
      <w:proofErr w:type="spellEnd"/>
      <w:r>
        <w:t xml:space="preserve">,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IAF MD 1 </w:t>
      </w:r>
      <w:proofErr w:type="spellStart"/>
      <w:r>
        <w:t>Clause</w:t>
      </w:r>
      <w:proofErr w:type="spellEnd"/>
      <w:r>
        <w:t xml:space="preserve"> 9.1.5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sampled</w:t>
      </w:r>
      <w:proofErr w:type="spellEnd"/>
      <w:r>
        <w:t>.</w:t>
      </w:r>
    </w:p>
    <w:p w:rsidR="00704486" w:rsidRDefault="00704486" w:rsidP="00704486">
      <w:r>
        <w:t>4.1.1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IAF MD 1.</w:t>
      </w:r>
    </w:p>
    <w:p w:rsidR="00860B3D" w:rsidRDefault="00860B3D" w:rsidP="00860B3D"/>
    <w:p w:rsidR="00860B3D" w:rsidRPr="00860B3D" w:rsidRDefault="00860B3D" w:rsidP="00860B3D">
      <w:pPr>
        <w:rPr>
          <w:b/>
        </w:rPr>
      </w:pPr>
      <w:r w:rsidRPr="00860B3D">
        <w:rPr>
          <w:b/>
        </w:rPr>
        <w:t>5.</w:t>
      </w:r>
      <w:r w:rsidRPr="00860B3D">
        <w:rPr>
          <w:b/>
        </w:rPr>
        <w:tab/>
      </w:r>
      <w:proofErr w:type="spellStart"/>
      <w:r w:rsidRPr="00860B3D">
        <w:rPr>
          <w:b/>
        </w:rPr>
        <w:t>Witnessed</w:t>
      </w:r>
      <w:proofErr w:type="spellEnd"/>
      <w:r w:rsidRPr="00860B3D">
        <w:rPr>
          <w:b/>
        </w:rPr>
        <w:t xml:space="preserve"> </w:t>
      </w:r>
      <w:proofErr w:type="spellStart"/>
      <w:r w:rsidRPr="00860B3D">
        <w:rPr>
          <w:b/>
        </w:rPr>
        <w:t>Assess</w:t>
      </w:r>
      <w:r w:rsidR="00B607B8">
        <w:rPr>
          <w:b/>
        </w:rPr>
        <w:t>ment</w:t>
      </w:r>
      <w:proofErr w:type="spellEnd"/>
      <w:r w:rsidR="00B607B8">
        <w:rPr>
          <w:b/>
        </w:rPr>
        <w:t xml:space="preserve"> </w:t>
      </w:r>
      <w:proofErr w:type="spellStart"/>
      <w:r w:rsidR="00B607B8">
        <w:rPr>
          <w:b/>
        </w:rPr>
        <w:t>by</w:t>
      </w:r>
      <w:proofErr w:type="spellEnd"/>
      <w:r w:rsidR="00B607B8">
        <w:rPr>
          <w:b/>
        </w:rPr>
        <w:t xml:space="preserve"> IRNAC</w:t>
      </w:r>
    </w:p>
    <w:p w:rsidR="00860B3D" w:rsidRDefault="00860B3D" w:rsidP="00860B3D"/>
    <w:p w:rsidR="00860B3D" w:rsidRDefault="00860B3D" w:rsidP="00860B3D">
      <w:r>
        <w:t>5.1</w:t>
      </w:r>
      <w:r>
        <w:tab/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witnessing</w:t>
      </w:r>
      <w:proofErr w:type="spellEnd"/>
      <w:r>
        <w:t xml:space="preserve"> of </w:t>
      </w:r>
      <w:proofErr w:type="spellStart"/>
      <w:r>
        <w:t>audits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minimum of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risk class</w:t>
      </w:r>
      <w:r w:rsidR="00132530">
        <w:t xml:space="preserve"> (Class C </w:t>
      </w:r>
      <w:proofErr w:type="spellStart"/>
      <w:r w:rsidR="00132530">
        <w:t>or</w:t>
      </w:r>
      <w:proofErr w:type="spellEnd"/>
      <w:r w:rsidR="00132530">
        <w:t xml:space="preserve"> D </w:t>
      </w:r>
      <w:proofErr w:type="spellStart"/>
      <w:r w:rsidR="00132530">
        <w:t>devices</w:t>
      </w:r>
      <w:proofErr w:type="spellEnd"/>
      <w:r w:rsidR="00132530">
        <w:t xml:space="preserve"> </w:t>
      </w:r>
      <w:proofErr w:type="spellStart"/>
      <w:r w:rsidR="00132530">
        <w:t>per</w:t>
      </w:r>
      <w:proofErr w:type="spellEnd"/>
      <w:r w:rsidR="00132530">
        <w:t xml:space="preserve"> IRNAC-G-</w:t>
      </w:r>
      <w:r w:rsidR="009A363B">
        <w:t>07, IRNAC</w:t>
      </w:r>
      <w:r w:rsidR="00132530">
        <w:t xml:space="preserve">-G-13 </w:t>
      </w:r>
      <w:proofErr w:type="spellStart"/>
      <w:r w:rsidR="00132530">
        <w:t>and</w:t>
      </w:r>
      <w:proofErr w:type="spellEnd"/>
      <w:r w:rsidR="00132530">
        <w:t xml:space="preserve"> IRNAC</w:t>
      </w:r>
      <w:r>
        <w:t xml:space="preserve">-G-22) of </w:t>
      </w:r>
      <w:proofErr w:type="spellStart"/>
      <w:r>
        <w:t>the</w:t>
      </w:r>
      <w:proofErr w:type="spellEnd"/>
      <w:r>
        <w:t xml:space="preserve"> Technical </w:t>
      </w:r>
      <w:proofErr w:type="spellStart"/>
      <w:r>
        <w:t>Areas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Main Technical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accreditation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ris</w:t>
      </w:r>
      <w:r w:rsidR="00132530">
        <w:t xml:space="preserve">k </w:t>
      </w:r>
      <w:proofErr w:type="spellStart"/>
      <w:r w:rsidR="00132530">
        <w:t>classification</w:t>
      </w:r>
      <w:proofErr w:type="spellEnd"/>
      <w:r w:rsidR="00132530">
        <w:t xml:space="preserve">, </w:t>
      </w:r>
      <w:proofErr w:type="spellStart"/>
      <w:r w:rsidR="00132530">
        <w:t>refer</w:t>
      </w:r>
      <w:proofErr w:type="spellEnd"/>
      <w:r w:rsidR="00132530">
        <w:t xml:space="preserve"> </w:t>
      </w:r>
      <w:proofErr w:type="spellStart"/>
      <w:r w:rsidR="00132530">
        <w:t>to</w:t>
      </w:r>
      <w:proofErr w:type="spellEnd"/>
      <w:r w:rsidR="00132530">
        <w:t xml:space="preserve"> IRNAC</w:t>
      </w:r>
      <w:r>
        <w:t xml:space="preserve">-G-07 </w:t>
      </w:r>
      <w:proofErr w:type="spellStart"/>
      <w:r>
        <w:t>Declaration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Accredited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132530">
        <w:t>Experimental</w:t>
      </w:r>
      <w:proofErr w:type="spellEnd"/>
      <w:r w:rsidR="00132530">
        <w:t xml:space="preserve"> </w:t>
      </w:r>
      <w:proofErr w:type="spellStart"/>
      <w:r w:rsidR="00132530">
        <w:t>Laboratories</w:t>
      </w:r>
      <w:proofErr w:type="spellEnd"/>
      <w:r w:rsidR="00132530">
        <w:t>, IRNAC</w:t>
      </w:r>
      <w:r>
        <w:t xml:space="preserve">-G-13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Guide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 w:rsidR="00132530">
        <w:t>and</w:t>
      </w:r>
      <w:proofErr w:type="spellEnd"/>
      <w:r w:rsidR="00132530">
        <w:t xml:space="preserve"> </w:t>
      </w:r>
      <w:proofErr w:type="spellStart"/>
      <w:r w:rsidR="00132530">
        <w:t>Medical</w:t>
      </w:r>
      <w:proofErr w:type="spellEnd"/>
      <w:r w:rsidR="00132530">
        <w:t xml:space="preserve"> </w:t>
      </w:r>
      <w:proofErr w:type="spellStart"/>
      <w:r w:rsidR="00132530">
        <w:t>Laboratories</w:t>
      </w:r>
      <w:proofErr w:type="spellEnd"/>
      <w:r w:rsidR="00132530">
        <w:t>,  IRNAC</w:t>
      </w:r>
      <w:r>
        <w:t xml:space="preserve">-G-22 </w:t>
      </w:r>
      <w:proofErr w:type="spellStart"/>
      <w:r>
        <w:t>Guidelines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(</w:t>
      </w:r>
      <w:proofErr w:type="spellStart"/>
      <w:r>
        <w:t>Person</w:t>
      </w:r>
      <w:proofErr w:type="spellEnd"/>
      <w:r>
        <w:t>/</w:t>
      </w:r>
      <w:proofErr w:type="spellStart"/>
      <w:r>
        <w:t>Day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 w:rsidR="00132530">
        <w:t>Accreditation</w:t>
      </w:r>
      <w:proofErr w:type="spellEnd"/>
      <w:r w:rsidR="00132530">
        <w:t xml:space="preserve"> </w:t>
      </w:r>
      <w:proofErr w:type="spellStart"/>
      <w:r w:rsidR="00132530">
        <w:t>Assessments</w:t>
      </w:r>
      <w:proofErr w:type="spellEnd"/>
      <w:r w:rsidR="00132530">
        <w:t xml:space="preserve"> IRNAC</w:t>
      </w:r>
      <w:r>
        <w:t xml:space="preserve"> </w:t>
      </w:r>
      <w:proofErr w:type="spellStart"/>
      <w:r>
        <w:t>website</w:t>
      </w:r>
      <w:proofErr w:type="spellEnd"/>
      <w:r>
        <w:t>.</w:t>
      </w:r>
    </w:p>
    <w:p w:rsidR="00860B3D" w:rsidRDefault="00860B3D" w:rsidP="00860B3D"/>
    <w:p w:rsidR="00E91AA3" w:rsidRDefault="00860B3D" w:rsidP="00860B3D">
      <w:r>
        <w:t>5.2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reassessment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on-site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witnessing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(s),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conducted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witnessing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, as a minimum,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Main Technical </w:t>
      </w:r>
      <w:proofErr w:type="spellStart"/>
      <w:r>
        <w:t>Areas</w:t>
      </w:r>
      <w:proofErr w:type="spellEnd"/>
      <w:r>
        <w:t xml:space="preserve"> (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A of IAF MD9)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accreditation</w:t>
      </w:r>
      <w:proofErr w:type="spellEnd"/>
      <w:r>
        <w:t xml:space="preserve"> is </w:t>
      </w:r>
      <w:proofErr w:type="spellStart"/>
      <w:r>
        <w:t>witnessed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an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of </w:t>
      </w:r>
      <w:proofErr w:type="spellStart"/>
      <w:r>
        <w:t>accreditation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witnessing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risk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:rsidR="00E91AA3" w:rsidRDefault="00E91AA3" w:rsidP="000745B9"/>
    <w:p w:rsidR="00CC3662" w:rsidRDefault="00CC3662" w:rsidP="004E466B">
      <w:pPr>
        <w:rPr>
          <w:b/>
        </w:rPr>
      </w:pPr>
    </w:p>
    <w:p w:rsidR="00CC3662" w:rsidRDefault="00CC3662" w:rsidP="004E466B">
      <w:pPr>
        <w:rPr>
          <w:b/>
        </w:rPr>
      </w:pPr>
    </w:p>
    <w:p w:rsidR="00CC3662" w:rsidRDefault="00CC3662" w:rsidP="004E466B">
      <w:pPr>
        <w:rPr>
          <w:b/>
        </w:rPr>
      </w:pPr>
    </w:p>
    <w:p w:rsidR="00CC3662" w:rsidRDefault="00CC3662" w:rsidP="004E466B">
      <w:pPr>
        <w:rPr>
          <w:b/>
        </w:rPr>
      </w:pPr>
    </w:p>
    <w:p w:rsidR="00CC3662" w:rsidRDefault="00CC3662" w:rsidP="004E466B">
      <w:pPr>
        <w:rPr>
          <w:b/>
        </w:rPr>
      </w:pPr>
    </w:p>
    <w:p w:rsidR="00CC3662" w:rsidRDefault="00CC3662" w:rsidP="004E466B">
      <w:pPr>
        <w:rPr>
          <w:b/>
        </w:rPr>
      </w:pPr>
    </w:p>
    <w:p w:rsidR="00CC3662" w:rsidRDefault="00CC3662" w:rsidP="004E466B">
      <w:pPr>
        <w:rPr>
          <w:b/>
        </w:rPr>
      </w:pPr>
    </w:p>
    <w:p w:rsidR="00CC3662" w:rsidRDefault="00CC3662" w:rsidP="004E466B">
      <w:pPr>
        <w:rPr>
          <w:b/>
        </w:rPr>
      </w:pPr>
    </w:p>
    <w:p w:rsidR="00CC3662" w:rsidRDefault="00CC3662" w:rsidP="004E466B">
      <w:pPr>
        <w:rPr>
          <w:b/>
        </w:rPr>
      </w:pPr>
    </w:p>
    <w:p w:rsidR="004E466B" w:rsidRPr="004E466B" w:rsidRDefault="004E466B" w:rsidP="004E466B">
      <w:pPr>
        <w:rPr>
          <w:b/>
        </w:rPr>
      </w:pPr>
      <w:r w:rsidRPr="004E466B">
        <w:rPr>
          <w:b/>
        </w:rPr>
        <w:lastRenderedPageBreak/>
        <w:t>6</w:t>
      </w:r>
      <w:r w:rsidRPr="004E466B">
        <w:rPr>
          <w:b/>
        </w:rPr>
        <w:tab/>
        <w:t xml:space="preserve">Information </w:t>
      </w:r>
      <w:proofErr w:type="spellStart"/>
      <w:r w:rsidRPr="004E466B">
        <w:rPr>
          <w:b/>
        </w:rPr>
        <w:t>required</w:t>
      </w:r>
      <w:proofErr w:type="spellEnd"/>
      <w:r w:rsidRPr="004E466B">
        <w:rPr>
          <w:b/>
        </w:rPr>
        <w:t xml:space="preserve"> on </w:t>
      </w:r>
      <w:proofErr w:type="spellStart"/>
      <w:r w:rsidRPr="004E466B">
        <w:rPr>
          <w:b/>
        </w:rPr>
        <w:t>the</w:t>
      </w:r>
      <w:proofErr w:type="spellEnd"/>
      <w:r w:rsidRPr="004E466B">
        <w:rPr>
          <w:b/>
        </w:rPr>
        <w:t xml:space="preserve"> </w:t>
      </w:r>
      <w:proofErr w:type="spellStart"/>
      <w:r w:rsidRPr="004E466B">
        <w:rPr>
          <w:b/>
        </w:rPr>
        <w:t>Issued</w:t>
      </w:r>
      <w:proofErr w:type="spellEnd"/>
      <w:r w:rsidRPr="004E466B">
        <w:rPr>
          <w:b/>
        </w:rPr>
        <w:t xml:space="preserve"> </w:t>
      </w:r>
      <w:proofErr w:type="spellStart"/>
      <w:r w:rsidRPr="004E466B">
        <w:rPr>
          <w:b/>
        </w:rPr>
        <w:t>Certificate</w:t>
      </w:r>
      <w:proofErr w:type="spellEnd"/>
    </w:p>
    <w:p w:rsidR="004E466B" w:rsidRDefault="004E466B" w:rsidP="004E466B"/>
    <w:p w:rsidR="000745B9" w:rsidRDefault="004E466B" w:rsidP="004E466B">
      <w:r>
        <w:t>6.1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Body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concisely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:rsidR="000745B9" w:rsidRDefault="00CC3662" w:rsidP="000745B9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368569" wp14:editId="76A90E3E">
                <wp:simplePos x="0" y="0"/>
                <wp:positionH relativeFrom="page">
                  <wp:posOffset>899795</wp:posOffset>
                </wp:positionH>
                <wp:positionV relativeFrom="paragraph">
                  <wp:posOffset>284480</wp:posOffset>
                </wp:positionV>
                <wp:extent cx="4751705" cy="263588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2635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662" w:rsidRDefault="00CC3662" w:rsidP="00CC3662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Unique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  <w:p w:rsidR="00CC3662" w:rsidRDefault="00CC3662" w:rsidP="00CC3662">
                            <w:pPr>
                              <w:pStyle w:val="GvdeMetni"/>
                              <w:spacing w:before="1"/>
                            </w:pPr>
                          </w:p>
                          <w:p w:rsidR="00CC3662" w:rsidRDefault="00CC3662" w:rsidP="00CC3662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Certification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  <w:p w:rsidR="00CC3662" w:rsidRDefault="00CC3662" w:rsidP="00CC3662">
                            <w:pPr>
                              <w:pStyle w:val="GvdeMetni"/>
                            </w:pPr>
                          </w:p>
                          <w:p w:rsidR="00CC3662" w:rsidRDefault="00CC3662" w:rsidP="00CC3662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</w:p>
                          <w:p w:rsidR="00CC3662" w:rsidRDefault="00CC3662" w:rsidP="00CC3662">
                            <w:pPr>
                              <w:pStyle w:val="GvdeMetni"/>
                            </w:pPr>
                          </w:p>
                          <w:p w:rsidR="00CC3662" w:rsidRDefault="00CC3662" w:rsidP="00CC3662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Site(s)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 Certification</w:t>
                            </w:r>
                          </w:p>
                          <w:p w:rsidR="00CC3662" w:rsidRDefault="00CC3662" w:rsidP="00CC3662">
                            <w:pPr>
                              <w:pStyle w:val="GvdeMetni"/>
                            </w:pPr>
                          </w:p>
                          <w:p w:rsidR="00CC3662" w:rsidRDefault="00CC3662" w:rsidP="00CC3662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Technical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Reference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Annex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IAF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MD9</w:t>
                            </w:r>
                          </w:p>
                          <w:p w:rsidR="00CC3662" w:rsidRDefault="00CC3662" w:rsidP="00CC3662">
                            <w:pPr>
                              <w:pStyle w:val="GvdeMetni"/>
                            </w:pPr>
                          </w:p>
                          <w:p w:rsidR="00CC3662" w:rsidRDefault="00CC3662" w:rsidP="00CC3662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ind w:right="285"/>
                            </w:pPr>
                            <w:r>
                              <w:t>Key Activities at Site(s) covered by Certification– such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Manufacturing (or Production)/ Design and Development/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Storage and Distribution/ Installation/ Servicing/ Provision of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associated activities/ Supplier or external parties providing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685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5pt;margin-top:22.4pt;width:374.15pt;height:20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xQhgIAABk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" filled="f" strokeweight=".48pt">
                <v:textbox inset="0,0,0,0">
                  <w:txbxContent>
                    <w:p w:rsidR="00CC3662" w:rsidRDefault="00CC3662" w:rsidP="00CC3662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Unique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Number</w:t>
                      </w:r>
                    </w:p>
                    <w:p w:rsidR="00CC3662" w:rsidRDefault="00CC3662" w:rsidP="00CC3662">
                      <w:pPr>
                        <w:pStyle w:val="GvdeMetni"/>
                        <w:spacing w:before="1"/>
                      </w:pPr>
                    </w:p>
                    <w:p w:rsidR="00CC3662" w:rsidRDefault="00CC3662" w:rsidP="00CC3662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Certification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Body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</w:t>
                      </w:r>
                    </w:p>
                    <w:p w:rsidR="00CC3662" w:rsidRDefault="00CC3662" w:rsidP="00CC3662">
                      <w:pPr>
                        <w:pStyle w:val="GvdeMetni"/>
                      </w:pPr>
                    </w:p>
                    <w:p w:rsidR="00CC3662" w:rsidRDefault="00CC3662" w:rsidP="00CC3662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Name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Holder</w:t>
                      </w:r>
                    </w:p>
                    <w:p w:rsidR="00CC3662" w:rsidRDefault="00CC3662" w:rsidP="00CC3662">
                      <w:pPr>
                        <w:pStyle w:val="GvdeMetni"/>
                      </w:pPr>
                    </w:p>
                    <w:p w:rsidR="00CC3662" w:rsidRDefault="00CC3662" w:rsidP="00CC3662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Name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Site(s)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 Certification</w:t>
                      </w:r>
                    </w:p>
                    <w:p w:rsidR="00CC3662" w:rsidRDefault="00CC3662" w:rsidP="00CC3662">
                      <w:pPr>
                        <w:pStyle w:val="GvdeMetni"/>
                      </w:pPr>
                    </w:p>
                    <w:p w:rsidR="00CC3662" w:rsidRDefault="00CC3662" w:rsidP="00CC3662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Technical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Reference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Annex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IAF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MD9</w:t>
                      </w:r>
                    </w:p>
                    <w:p w:rsidR="00CC3662" w:rsidRDefault="00CC3662" w:rsidP="00CC3662">
                      <w:pPr>
                        <w:pStyle w:val="GvdeMetni"/>
                      </w:pPr>
                    </w:p>
                    <w:p w:rsidR="00CC3662" w:rsidRDefault="00CC3662" w:rsidP="00CC3662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ind w:right="285"/>
                      </w:pPr>
                      <w:r>
                        <w:t>Key Activities at Site(s) covered by Certification– such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Manufacturing (or Production)/ Design and Development/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Storage and Distribution/ Installation/ Servicing/ Provision of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associated activities/ Supplier or external parties providing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3662" w:rsidRDefault="00CC3662" w:rsidP="000745B9"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81B8B0E" wp14:editId="13B26E42">
                <wp:extent cx="4751705" cy="1758950"/>
                <wp:effectExtent l="5080" t="9525" r="571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1758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662" w:rsidRDefault="00CC3662" w:rsidP="00CC3662">
                            <w:pPr>
                              <w:pStyle w:val="GvdeMetni"/>
                            </w:pPr>
                          </w:p>
                          <w:p w:rsidR="00CC3662" w:rsidRDefault="00CC3662" w:rsidP="00CC3662">
                            <w:pPr>
                              <w:pStyle w:val="GvdeMetni"/>
                              <w:spacing w:before="1"/>
                              <w:ind w:left="823" w:right="298"/>
                              <w:jc w:val="both"/>
                            </w:pPr>
                            <w:r>
                              <w:t>* For example: raw materials, components, subassemblies,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medical devices, sterilization services, distribution services,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</w:p>
                          <w:p w:rsidR="00CC3662" w:rsidRDefault="00CC3662" w:rsidP="00CC3662">
                            <w:pPr>
                              <w:pStyle w:val="GvdeMetni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CC3662" w:rsidRDefault="00CC3662" w:rsidP="00CC3662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4"/>
                              </w:tabs>
                              <w:ind w:right="440"/>
                            </w:pPr>
                            <w:r>
                              <w:t>Certification Standard (including year of edition) – e.g. ISO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13485:2016</w:t>
                            </w:r>
                          </w:p>
                          <w:p w:rsidR="00CC3662" w:rsidRDefault="00CC3662" w:rsidP="00CC3662">
                            <w:pPr>
                              <w:pStyle w:val="GvdeMetni"/>
                            </w:pPr>
                          </w:p>
                          <w:p w:rsidR="00CC3662" w:rsidRDefault="00CC3662" w:rsidP="00CC3662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Issued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Expiry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1B8B0E" id="Text Box 2" o:spid="_x0000_s1027" type="#_x0000_t202" style="width:374.15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" filled="f" strokeweight=".48pt">
                <v:textbox inset="0,0,0,0">
                  <w:txbxContent>
                    <w:p w:rsidR="00CC3662" w:rsidRDefault="00CC3662" w:rsidP="00CC3662">
                      <w:pPr>
                        <w:pStyle w:val="GvdeMetni"/>
                      </w:pPr>
                    </w:p>
                    <w:p w:rsidR="00CC3662" w:rsidRDefault="00CC3662" w:rsidP="00CC3662">
                      <w:pPr>
                        <w:pStyle w:val="GvdeMetni"/>
                        <w:spacing w:before="1"/>
                        <w:ind w:left="823" w:right="298"/>
                        <w:jc w:val="both"/>
                      </w:pPr>
                      <w:r>
                        <w:t xml:space="preserve">* For </w:t>
                      </w:r>
                      <w:proofErr w:type="gramStart"/>
                      <w:r>
                        <w:t>example:</w:t>
                      </w:r>
                      <w:proofErr w:type="gramEnd"/>
                      <w:r>
                        <w:t xml:space="preserve"> raw materials, components, subassemblies,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medical devices, sterilization services, distribution services,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</w:t>
                      </w:r>
                    </w:p>
                    <w:p w:rsidR="00CC3662" w:rsidRDefault="00CC3662" w:rsidP="00CC3662">
                      <w:pPr>
                        <w:pStyle w:val="GvdeMetni"/>
                        <w:spacing w:before="11"/>
                        <w:rPr>
                          <w:sz w:val="23"/>
                        </w:rPr>
                      </w:pPr>
                    </w:p>
                    <w:p w:rsidR="00CC3662" w:rsidRDefault="00CC3662" w:rsidP="00CC3662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824"/>
                        </w:tabs>
                        <w:ind w:right="440"/>
                      </w:pPr>
                      <w:r>
                        <w:t>Certification Standard (including year of edition) – e.g. ISO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13485:2016</w:t>
                      </w:r>
                    </w:p>
                    <w:p w:rsidR="00CC3662" w:rsidRDefault="00CC3662" w:rsidP="00CC3662">
                      <w:pPr>
                        <w:pStyle w:val="GvdeMetni"/>
                      </w:pPr>
                    </w:p>
                    <w:p w:rsidR="00CC3662" w:rsidRDefault="00CC3662" w:rsidP="00CC3662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Issued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Expiry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685B" w:rsidRDefault="00D5685B" w:rsidP="00D5685B">
      <w:r>
        <w:t>6.2</w:t>
      </w:r>
      <w:r>
        <w:tab/>
        <w:t xml:space="preserve">Information on Product </w:t>
      </w:r>
      <w:proofErr w:type="spellStart"/>
      <w:r>
        <w:t>Category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Annex</w:t>
      </w:r>
      <w:proofErr w:type="spellEnd"/>
      <w:r>
        <w:t xml:space="preserve"> A of IAF MD9 is </w:t>
      </w:r>
      <w:proofErr w:type="spellStart"/>
      <w:r>
        <w:t>recommended</w:t>
      </w:r>
      <w:proofErr w:type="spellEnd"/>
      <w:r>
        <w:t>.</w:t>
      </w:r>
    </w:p>
    <w:p w:rsidR="00CC3662" w:rsidRDefault="00D5685B" w:rsidP="00D5685B">
      <w:r>
        <w:t>6.3</w:t>
      </w:r>
      <w:r>
        <w:tab/>
      </w:r>
      <w:proofErr w:type="spellStart"/>
      <w:r>
        <w:t>For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) is </w:t>
      </w:r>
      <w:proofErr w:type="spellStart"/>
      <w:r>
        <w:t>subcontracted</w:t>
      </w:r>
      <w:proofErr w:type="spellEnd"/>
      <w:r>
        <w:t>, ‘</w:t>
      </w:r>
      <w:proofErr w:type="spellStart"/>
      <w:r>
        <w:t>Manufacture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)’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, ‘Design’ </w:t>
      </w:r>
      <w:proofErr w:type="spellStart"/>
      <w:r>
        <w:t>or</w:t>
      </w:r>
      <w:proofErr w:type="spellEnd"/>
      <w:r>
        <w:t xml:space="preserve"> ‘Design </w:t>
      </w:r>
      <w:proofErr w:type="spellStart"/>
      <w:r>
        <w:t>and</w:t>
      </w:r>
      <w:proofErr w:type="spellEnd"/>
      <w:r>
        <w:t xml:space="preserve"> Development’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. </w:t>
      </w:r>
      <w:proofErr w:type="spellStart"/>
      <w:r>
        <w:t>Certification</w:t>
      </w:r>
      <w:proofErr w:type="spellEnd"/>
      <w:r>
        <w:t xml:space="preserve"> body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has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in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outsourced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:rsidR="00D5685B" w:rsidRDefault="00D5685B" w:rsidP="00D5685B"/>
    <w:p w:rsidR="00AD67FE" w:rsidRDefault="00AD67FE" w:rsidP="00AD67FE"/>
    <w:p w:rsidR="00AD67FE" w:rsidRDefault="00AD67FE" w:rsidP="00AD67FE"/>
    <w:p w:rsidR="00AD67FE" w:rsidRDefault="00AD67FE" w:rsidP="00AD67FE"/>
    <w:p w:rsidR="00AD67FE" w:rsidRPr="00AD67FE" w:rsidRDefault="00AD67FE" w:rsidP="00AD67FE">
      <w:pPr>
        <w:rPr>
          <w:b/>
        </w:rPr>
      </w:pPr>
      <w:r w:rsidRPr="00AD67FE">
        <w:rPr>
          <w:b/>
        </w:rPr>
        <w:lastRenderedPageBreak/>
        <w:t>7</w:t>
      </w:r>
      <w:r w:rsidRPr="00AD67FE">
        <w:rPr>
          <w:b/>
        </w:rPr>
        <w:tab/>
        <w:t xml:space="preserve">Information </w:t>
      </w:r>
      <w:proofErr w:type="spellStart"/>
      <w:r w:rsidRPr="00AD67FE">
        <w:rPr>
          <w:b/>
        </w:rPr>
        <w:t>Requirements</w:t>
      </w:r>
      <w:proofErr w:type="spellEnd"/>
    </w:p>
    <w:p w:rsidR="00AD67FE" w:rsidRDefault="00AD67FE" w:rsidP="00AD67FE"/>
    <w:p w:rsidR="00D5685B" w:rsidRDefault="00AD67FE" w:rsidP="00AD67FE">
      <w:r>
        <w:t>7.1</w:t>
      </w:r>
      <w:r>
        <w:tab/>
        <w:t xml:space="preserve">A </w:t>
      </w:r>
      <w:proofErr w:type="spellStart"/>
      <w:r>
        <w:t>certification</w:t>
      </w:r>
      <w:proofErr w:type="spellEnd"/>
      <w:r>
        <w:t xml:space="preserve"> body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Name of 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of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unmet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,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withdrawn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>.</w:t>
      </w:r>
    </w:p>
    <w:p w:rsidR="00CC3662" w:rsidRDefault="00CC3662" w:rsidP="000745B9"/>
    <w:p w:rsidR="007E4BA1" w:rsidRPr="007E4BA1" w:rsidRDefault="007E4BA1" w:rsidP="007E4BA1">
      <w:pPr>
        <w:rPr>
          <w:b/>
        </w:rPr>
      </w:pPr>
      <w:r w:rsidRPr="007E4BA1">
        <w:rPr>
          <w:b/>
        </w:rPr>
        <w:t xml:space="preserve">8   </w:t>
      </w:r>
      <w:r>
        <w:rPr>
          <w:b/>
        </w:rPr>
        <w:tab/>
      </w:r>
      <w:r w:rsidRPr="007E4BA1">
        <w:rPr>
          <w:b/>
        </w:rPr>
        <w:t xml:space="preserve"> </w:t>
      </w:r>
      <w:proofErr w:type="spellStart"/>
      <w:r w:rsidRPr="007E4BA1">
        <w:rPr>
          <w:b/>
        </w:rPr>
        <w:t>Implementation</w:t>
      </w:r>
      <w:proofErr w:type="spellEnd"/>
    </w:p>
    <w:p w:rsidR="007E4BA1" w:rsidRDefault="007E4BA1" w:rsidP="007E4BA1">
      <w:r>
        <w:t>8.1</w:t>
      </w:r>
      <w:r>
        <w:tab/>
      </w:r>
      <w:proofErr w:type="spellStart"/>
      <w:r>
        <w:t>Thi</w:t>
      </w:r>
      <w:r w:rsidR="000E0D4C">
        <w:t>s</w:t>
      </w:r>
      <w:proofErr w:type="spellEnd"/>
      <w:r w:rsidR="000E0D4C">
        <w:t xml:space="preserve"> </w:t>
      </w:r>
      <w:proofErr w:type="spellStart"/>
      <w:r w:rsidR="000E0D4C">
        <w:t>instruction</w:t>
      </w:r>
      <w:proofErr w:type="spellEnd"/>
      <w:r w:rsidR="000E0D4C">
        <w:t xml:space="preserve"> is a </w:t>
      </w:r>
      <w:proofErr w:type="spellStart"/>
      <w:r w:rsidR="000E0D4C">
        <w:t>part</w:t>
      </w:r>
      <w:proofErr w:type="spellEnd"/>
      <w:r w:rsidR="000E0D4C">
        <w:t xml:space="preserve"> of IRNAC</w:t>
      </w:r>
      <w:r>
        <w:t xml:space="preserve">-G-28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</w:t>
      </w:r>
      <w:proofErr w:type="gramStart"/>
      <w:r>
        <w:t>of  Confor</w:t>
      </w:r>
      <w:r w:rsidR="000E0D4C">
        <w:t>mity</w:t>
      </w:r>
      <w:proofErr w:type="gramEnd"/>
      <w:r w:rsidR="000E0D4C">
        <w:t xml:space="preserve"> </w:t>
      </w:r>
      <w:proofErr w:type="spellStart"/>
      <w:r w:rsidR="000E0D4C">
        <w:t>Assessment</w:t>
      </w:r>
      <w:proofErr w:type="spellEnd"/>
      <w:r w:rsidR="000E0D4C">
        <w:t xml:space="preserve"> </w:t>
      </w:r>
      <w:proofErr w:type="spellStart"/>
      <w:r w:rsidR="000E0D4C">
        <w:t>Bodies</w:t>
      </w:r>
      <w:proofErr w:type="spellEnd"/>
      <w:r w:rsidR="000E0D4C">
        <w:t xml:space="preserve"> </w:t>
      </w:r>
      <w:proofErr w:type="spellStart"/>
      <w:r w:rsidR="000E0D4C">
        <w:t>and</w:t>
      </w:r>
      <w:proofErr w:type="spellEnd"/>
      <w:r w:rsidR="000E0D4C">
        <w:t xml:space="preserve"> IRNAC</w:t>
      </w:r>
      <w:r>
        <w:t xml:space="preserve">-P-01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of </w:t>
      </w:r>
      <w:proofErr w:type="spellStart"/>
      <w:r>
        <w:t>CABs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>.</w:t>
      </w:r>
    </w:p>
    <w:p w:rsidR="000745B9" w:rsidRDefault="000745B9" w:rsidP="008D0A35"/>
    <w:p w:rsidR="000745B9" w:rsidRDefault="000745B9" w:rsidP="008D0A35"/>
    <w:p w:rsidR="000745B9" w:rsidRDefault="000745B9" w:rsidP="008D0A35"/>
    <w:p w:rsidR="000745B9" w:rsidRDefault="000745B9" w:rsidP="008D0A35"/>
    <w:p w:rsidR="000745B9" w:rsidRDefault="000745B9" w:rsidP="008D0A35"/>
    <w:sectPr w:rsidR="000745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EC" w:rsidRDefault="004515EC" w:rsidP="005969BA">
      <w:pPr>
        <w:spacing w:after="0" w:line="240" w:lineRule="auto"/>
      </w:pPr>
      <w:r>
        <w:separator/>
      </w:r>
    </w:p>
  </w:endnote>
  <w:endnote w:type="continuationSeparator" w:id="0">
    <w:p w:rsidR="004515EC" w:rsidRDefault="004515EC" w:rsidP="0059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BA" w:rsidRDefault="00E27706">
    <w:pPr>
      <w:pStyle w:val="AltBilgi"/>
    </w:pPr>
    <w:r>
      <w:t>IRNAC-IN-26-01/04/2023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EC" w:rsidRDefault="004515EC" w:rsidP="005969BA">
      <w:pPr>
        <w:spacing w:after="0" w:line="240" w:lineRule="auto"/>
      </w:pPr>
      <w:r>
        <w:separator/>
      </w:r>
    </w:p>
  </w:footnote>
  <w:footnote w:type="continuationSeparator" w:id="0">
    <w:p w:rsidR="004515EC" w:rsidRDefault="004515EC" w:rsidP="0059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873"/>
      <w:gridCol w:w="5006"/>
      <w:gridCol w:w="1136"/>
      <w:gridCol w:w="1365"/>
    </w:tblGrid>
    <w:tr w:rsidR="005969BA" w:rsidTr="00E27706">
      <w:trPr>
        <w:trHeight w:val="144"/>
      </w:trPr>
      <w:tc>
        <w:tcPr>
          <w:tcW w:w="1873" w:type="dxa"/>
          <w:vMerge w:val="restart"/>
        </w:tcPr>
        <w:p w:rsidR="005969BA" w:rsidRDefault="00E27706" w:rsidP="005969BA">
          <w:pPr>
            <w:pStyle w:val="stBilgi"/>
            <w:rPr>
              <w:rFonts w:eastAsia="Courier New"/>
              <w:b/>
              <w:sz w:val="32"/>
              <w:szCs w:val="32"/>
            </w:rPr>
          </w:pPr>
          <w:r w:rsidRPr="0085007F">
            <w:rPr>
              <w:noProof/>
            </w:rPr>
            <w:drawing>
              <wp:inline distT="0" distB="0" distL="0" distR="0" wp14:anchorId="00C87542" wp14:editId="2547268A">
                <wp:extent cx="1025525" cy="874395"/>
                <wp:effectExtent l="0" t="0" r="3175" b="1905"/>
                <wp:docPr id="2" name="Resim 2" descr="C:\Users\sevda\OneDrive\Masaüstü\IRNAC LOGO - Kop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da\OneDrive\Masaüstü\IRNAC LOGO - Kop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969BA" w:rsidRDefault="005969BA" w:rsidP="005969BA">
          <w:pPr>
            <w:rPr>
              <w:rFonts w:eastAsia="Courier New"/>
              <w:lang w:val="en-US"/>
            </w:rPr>
          </w:pPr>
        </w:p>
        <w:p w:rsidR="005969BA" w:rsidRPr="00674D61" w:rsidRDefault="005969BA" w:rsidP="005969BA">
          <w:pPr>
            <w:jc w:val="center"/>
            <w:rPr>
              <w:rFonts w:eastAsia="Courier New"/>
              <w:lang w:val="en-US"/>
            </w:rPr>
          </w:pPr>
        </w:p>
      </w:tc>
      <w:tc>
        <w:tcPr>
          <w:tcW w:w="5006" w:type="dxa"/>
          <w:vMerge w:val="restart"/>
        </w:tcPr>
        <w:p w:rsidR="005969BA" w:rsidRPr="00F8570E" w:rsidRDefault="00E27706" w:rsidP="005969BA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</w:p>
        <w:p w:rsidR="00E27706" w:rsidRDefault="00E27706" w:rsidP="005969BA">
          <w:pPr>
            <w:pStyle w:val="stBilgi"/>
            <w:jc w:val="center"/>
            <w:rPr>
              <w:rFonts w:eastAsia="Courier New"/>
              <w:b/>
              <w:sz w:val="28"/>
              <w:szCs w:val="28"/>
            </w:rPr>
          </w:pPr>
        </w:p>
        <w:p w:rsidR="005969BA" w:rsidRPr="00C71CED" w:rsidRDefault="005969BA" w:rsidP="005969BA">
          <w:pPr>
            <w:pStyle w:val="stBilgi"/>
            <w:jc w:val="center"/>
            <w:rPr>
              <w:rFonts w:eastAsia="Courier New"/>
              <w:b/>
              <w:sz w:val="28"/>
              <w:szCs w:val="28"/>
            </w:rPr>
          </w:pP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Instruction</w:t>
          </w:r>
          <w:proofErr w:type="spellEnd"/>
          <w:r w:rsidRPr="00C71CED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C71CED">
            <w:rPr>
              <w:rFonts w:eastAsia="Courier New"/>
              <w:b/>
              <w:sz w:val="28"/>
              <w:szCs w:val="28"/>
            </w:rPr>
            <w:t>fo</w:t>
          </w:r>
          <w:r>
            <w:rPr>
              <w:rFonts w:eastAsia="Courier New"/>
              <w:b/>
              <w:sz w:val="28"/>
              <w:szCs w:val="28"/>
            </w:rPr>
            <w:t>r</w:t>
          </w:r>
          <w:proofErr w:type="spellEnd"/>
          <w:r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5969BA">
            <w:rPr>
              <w:rFonts w:eastAsia="Courier New"/>
              <w:b/>
              <w:sz w:val="28"/>
              <w:szCs w:val="28"/>
            </w:rPr>
            <w:t>Medical</w:t>
          </w:r>
          <w:proofErr w:type="spellEnd"/>
          <w:r w:rsidRPr="005969BA"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 w:rsidRPr="005969BA">
            <w:rPr>
              <w:rFonts w:eastAsia="Courier New"/>
              <w:b/>
              <w:sz w:val="28"/>
              <w:szCs w:val="28"/>
            </w:rPr>
            <w:t>Devices</w:t>
          </w:r>
          <w:proofErr w:type="spellEnd"/>
          <w:r w:rsidRPr="005969BA">
            <w:rPr>
              <w:rFonts w:eastAsia="Courier New"/>
              <w:b/>
              <w:sz w:val="28"/>
              <w:szCs w:val="28"/>
            </w:rPr>
            <w:t xml:space="preserve"> - </w:t>
          </w:r>
          <w:proofErr w:type="spellStart"/>
          <w:r w:rsidRPr="005969BA">
            <w:rPr>
              <w:rFonts w:eastAsia="Courier New"/>
              <w:b/>
              <w:sz w:val="28"/>
              <w:szCs w:val="28"/>
            </w:rPr>
            <w:t>Quality</w:t>
          </w:r>
          <w:proofErr w:type="spellEnd"/>
          <w:r w:rsidRPr="005969BA">
            <w:rPr>
              <w:rFonts w:eastAsia="Courier New"/>
              <w:b/>
              <w:sz w:val="28"/>
              <w:szCs w:val="28"/>
            </w:rPr>
            <w:t xml:space="preserve"> Management </w:t>
          </w:r>
          <w:proofErr w:type="spellStart"/>
          <w:r w:rsidRPr="005969BA">
            <w:rPr>
              <w:rFonts w:eastAsia="Courier New"/>
              <w:b/>
              <w:sz w:val="28"/>
              <w:szCs w:val="28"/>
            </w:rPr>
            <w:t>Systems</w:t>
          </w:r>
          <w:proofErr w:type="spellEnd"/>
          <w:r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eastAsia="Courier New"/>
              <w:b/>
              <w:sz w:val="28"/>
              <w:szCs w:val="28"/>
            </w:rPr>
            <w:t>for</w:t>
          </w:r>
          <w:proofErr w:type="spellEnd"/>
          <w:r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eastAsia="Courier New"/>
              <w:b/>
              <w:sz w:val="28"/>
              <w:szCs w:val="28"/>
            </w:rPr>
            <w:t>Certification</w:t>
          </w:r>
          <w:proofErr w:type="spellEnd"/>
          <w:r>
            <w:rPr>
              <w:rFonts w:eastAsia="Courier New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eastAsia="Courier New"/>
              <w:b/>
              <w:sz w:val="28"/>
              <w:szCs w:val="28"/>
            </w:rPr>
            <w:t>Bodies</w:t>
          </w:r>
          <w:proofErr w:type="spellEnd"/>
        </w:p>
      </w:tc>
      <w:tc>
        <w:tcPr>
          <w:tcW w:w="1136" w:type="dxa"/>
        </w:tcPr>
        <w:p w:rsidR="005969BA" w:rsidRPr="004F5E88" w:rsidRDefault="005969BA" w:rsidP="005969BA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Document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No:</w:t>
          </w:r>
        </w:p>
      </w:tc>
      <w:tc>
        <w:tcPr>
          <w:tcW w:w="1365" w:type="dxa"/>
        </w:tcPr>
        <w:p w:rsidR="005969BA" w:rsidRPr="00876CA1" w:rsidRDefault="00E27706" w:rsidP="005969BA">
          <w:pPr>
            <w:pStyle w:val="stBilgi"/>
            <w:jc w:val="center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IRNAC</w:t>
          </w:r>
          <w:r w:rsidR="005969BA">
            <w:rPr>
              <w:rFonts w:ascii="Verdana" w:hAnsi="Verdana"/>
              <w:b/>
              <w:sz w:val="14"/>
              <w:szCs w:val="14"/>
            </w:rPr>
            <w:t>-IN-26</w:t>
          </w:r>
        </w:p>
        <w:p w:rsidR="005969BA" w:rsidRDefault="005969BA" w:rsidP="005969BA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  <w:tr w:rsidR="005969BA" w:rsidTr="00E27706">
      <w:trPr>
        <w:trHeight w:val="144"/>
      </w:trPr>
      <w:tc>
        <w:tcPr>
          <w:tcW w:w="1873" w:type="dxa"/>
          <w:vMerge/>
        </w:tcPr>
        <w:p w:rsidR="005969BA" w:rsidRDefault="005969BA" w:rsidP="005969BA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5969BA" w:rsidRPr="00F8570E" w:rsidRDefault="005969BA" w:rsidP="005969BA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5969BA" w:rsidRPr="004F5E88" w:rsidRDefault="005969BA" w:rsidP="005969BA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Release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>:</w:t>
          </w:r>
        </w:p>
      </w:tc>
      <w:tc>
        <w:tcPr>
          <w:tcW w:w="1365" w:type="dxa"/>
        </w:tcPr>
        <w:p w:rsidR="005969BA" w:rsidRDefault="005969BA" w:rsidP="005969BA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</w:t>
          </w:r>
          <w:r w:rsidRPr="00A570C8">
            <w:rPr>
              <w:rFonts w:ascii="Verdana" w:hAnsi="Verdana"/>
              <w:b/>
              <w:sz w:val="16"/>
              <w:szCs w:val="16"/>
            </w:rPr>
            <w:t>/202</w:t>
          </w:r>
          <w:r w:rsidR="00E27706">
            <w:rPr>
              <w:rFonts w:ascii="Verdana" w:hAnsi="Verdana"/>
              <w:b/>
              <w:sz w:val="16"/>
              <w:szCs w:val="16"/>
            </w:rPr>
            <w:t>3</w:t>
          </w:r>
        </w:p>
      </w:tc>
    </w:tr>
    <w:tr w:rsidR="005969BA" w:rsidTr="00E27706">
      <w:trPr>
        <w:trHeight w:val="253"/>
      </w:trPr>
      <w:tc>
        <w:tcPr>
          <w:tcW w:w="1873" w:type="dxa"/>
          <w:vMerge/>
        </w:tcPr>
        <w:p w:rsidR="005969BA" w:rsidRDefault="005969BA" w:rsidP="005969BA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5969BA" w:rsidRPr="00F8570E" w:rsidRDefault="005969BA" w:rsidP="005969BA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5969BA" w:rsidRPr="004F5E88" w:rsidRDefault="005969BA" w:rsidP="005969BA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Rev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</w:t>
          </w:r>
          <w:proofErr w:type="spellStart"/>
          <w:r w:rsidRPr="004F5E88">
            <w:rPr>
              <w:rFonts w:ascii="Verdana" w:hAnsi="Verdana"/>
              <w:b/>
              <w:sz w:val="16"/>
              <w:szCs w:val="16"/>
            </w:rPr>
            <w:t>Date</w:t>
          </w:r>
          <w:proofErr w:type="spellEnd"/>
          <w:r w:rsidRPr="004F5E88">
            <w:rPr>
              <w:rFonts w:ascii="Verdana" w:hAnsi="Verdana"/>
              <w:b/>
              <w:sz w:val="16"/>
              <w:szCs w:val="16"/>
            </w:rPr>
            <w:t xml:space="preserve"> / No:</w:t>
          </w:r>
        </w:p>
      </w:tc>
      <w:tc>
        <w:tcPr>
          <w:tcW w:w="1365" w:type="dxa"/>
        </w:tcPr>
        <w:p w:rsidR="005969BA" w:rsidRDefault="005969BA" w:rsidP="005969BA">
          <w:pPr>
            <w:pStyle w:val="stBilgi"/>
            <w:jc w:val="center"/>
            <w:rPr>
              <w:rFonts w:eastAsia="Courier New"/>
              <w:b/>
              <w:sz w:val="32"/>
              <w:szCs w:val="32"/>
            </w:rPr>
          </w:pPr>
          <w:r>
            <w:rPr>
              <w:rFonts w:eastAsia="Courier New"/>
              <w:b/>
              <w:sz w:val="32"/>
              <w:szCs w:val="32"/>
            </w:rPr>
            <w:t>0</w:t>
          </w:r>
        </w:p>
      </w:tc>
    </w:tr>
    <w:tr w:rsidR="005969BA" w:rsidTr="00E27706">
      <w:trPr>
        <w:trHeight w:val="253"/>
      </w:trPr>
      <w:tc>
        <w:tcPr>
          <w:tcW w:w="1873" w:type="dxa"/>
          <w:vMerge/>
        </w:tcPr>
        <w:p w:rsidR="005969BA" w:rsidRDefault="005969BA" w:rsidP="005969BA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  <w:tc>
        <w:tcPr>
          <w:tcW w:w="5006" w:type="dxa"/>
          <w:vMerge/>
        </w:tcPr>
        <w:p w:rsidR="005969BA" w:rsidRPr="00F8570E" w:rsidRDefault="005969BA" w:rsidP="005969BA">
          <w:pPr>
            <w:pStyle w:val="stBilgi"/>
            <w:jc w:val="center"/>
            <w:rPr>
              <w:rFonts w:ascii="Verdana" w:hAnsi="Verdana"/>
              <w:b/>
            </w:rPr>
          </w:pPr>
        </w:p>
      </w:tc>
      <w:tc>
        <w:tcPr>
          <w:tcW w:w="1136" w:type="dxa"/>
        </w:tcPr>
        <w:p w:rsidR="005969BA" w:rsidRPr="004F5E88" w:rsidRDefault="005969BA" w:rsidP="005969BA">
          <w:pPr>
            <w:pStyle w:val="stBilgi"/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5" w:type="dxa"/>
        </w:tcPr>
        <w:p w:rsidR="005969BA" w:rsidRDefault="005969BA" w:rsidP="005969BA">
          <w:pPr>
            <w:pStyle w:val="stBilgi"/>
            <w:rPr>
              <w:rFonts w:eastAsia="Courier New"/>
              <w:b/>
              <w:sz w:val="32"/>
              <w:szCs w:val="32"/>
            </w:rPr>
          </w:pPr>
        </w:p>
      </w:tc>
    </w:tr>
  </w:tbl>
  <w:p w:rsidR="005969BA" w:rsidRDefault="005969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770"/>
    <w:multiLevelType w:val="multilevel"/>
    <w:tmpl w:val="348AF8B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9837BA"/>
    <w:multiLevelType w:val="hybridMultilevel"/>
    <w:tmpl w:val="3A16A72C"/>
    <w:lvl w:ilvl="0" w:tplc="D44AA1F6">
      <w:start w:val="1"/>
      <w:numFmt w:val="lowerLetter"/>
      <w:lvlText w:val="%1)"/>
      <w:lvlJc w:val="left"/>
      <w:pPr>
        <w:ind w:left="823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DEDC2344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3FCE4102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3" w:tplc="4162E280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CFC2C8DE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A7DAF3A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6" w:tplc="CE007740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7" w:tplc="510A4568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8" w:tplc="F3B293D0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9C5F5A"/>
    <w:multiLevelType w:val="hybridMultilevel"/>
    <w:tmpl w:val="9C24AF86"/>
    <w:lvl w:ilvl="0" w:tplc="23D4ED14">
      <w:start w:val="7"/>
      <w:numFmt w:val="lowerLetter"/>
      <w:lvlText w:val="%1)"/>
      <w:lvlJc w:val="left"/>
      <w:pPr>
        <w:ind w:left="823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AF363E8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890E49EE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3" w:tplc="A9FA6E22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87624B9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38ADE32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6" w:tplc="A732BB4A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7" w:tplc="78C6B34C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8" w:tplc="EBE4164E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BA"/>
    <w:rsid w:val="000745B9"/>
    <w:rsid w:val="000C4F0A"/>
    <w:rsid w:val="000D4578"/>
    <w:rsid w:val="000E0D4C"/>
    <w:rsid w:val="00132530"/>
    <w:rsid w:val="001E37A4"/>
    <w:rsid w:val="004515EC"/>
    <w:rsid w:val="00466158"/>
    <w:rsid w:val="004E466B"/>
    <w:rsid w:val="005119C4"/>
    <w:rsid w:val="005969BA"/>
    <w:rsid w:val="005F503E"/>
    <w:rsid w:val="006F56F9"/>
    <w:rsid w:val="00704486"/>
    <w:rsid w:val="007E4BA1"/>
    <w:rsid w:val="00860B3D"/>
    <w:rsid w:val="0088103D"/>
    <w:rsid w:val="008D0A35"/>
    <w:rsid w:val="009A363B"/>
    <w:rsid w:val="00AD4E0C"/>
    <w:rsid w:val="00AD67FE"/>
    <w:rsid w:val="00B607B8"/>
    <w:rsid w:val="00BB3BCC"/>
    <w:rsid w:val="00CC3662"/>
    <w:rsid w:val="00D5685B"/>
    <w:rsid w:val="00E109E4"/>
    <w:rsid w:val="00E27706"/>
    <w:rsid w:val="00E820FA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5380"/>
  <w15:chartTrackingRefBased/>
  <w15:docId w15:val="{118E7203-6211-4111-88A6-97F9A5C4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69BA"/>
  </w:style>
  <w:style w:type="paragraph" w:styleId="AltBilgi">
    <w:name w:val="footer"/>
    <w:basedOn w:val="Normal"/>
    <w:link w:val="AltBilgiChar"/>
    <w:uiPriority w:val="99"/>
    <w:unhideWhenUsed/>
    <w:rsid w:val="00596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69BA"/>
  </w:style>
  <w:style w:type="table" w:styleId="TabloKlavuzu">
    <w:name w:val="Table Grid"/>
    <w:basedOn w:val="NormalTablo"/>
    <w:uiPriority w:val="59"/>
    <w:rsid w:val="005969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0A3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C36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3662"/>
    <w:rPr>
      <w:rFonts w:ascii="Arial MT" w:eastAsia="Arial MT" w:hAnsi="Arial MT" w:cs="Arial M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sevda@hotmail.com</dc:creator>
  <cp:keywords/>
  <dc:description/>
  <cp:lastModifiedBy>sevda@hotmail.com</cp:lastModifiedBy>
  <cp:revision>2</cp:revision>
  <dcterms:created xsi:type="dcterms:W3CDTF">2023-09-27T12:48:00Z</dcterms:created>
  <dcterms:modified xsi:type="dcterms:W3CDTF">2023-09-27T12:48:00Z</dcterms:modified>
</cp:coreProperties>
</file>